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Owner pack</w:t>
      </w:r>
    </w:p>
    <w:p>
      <w:r>
        <w:t>Prepared from your approved data. Anonymised where shared outside the group.</w:t>
      </w:r>
    </w:p>
    <w:p>
      <w:pPr>
        <w:pStyle w:val="Heading1"/>
      </w:pPr>
      <w:r>
        <w:t>Findings, actions, owners and dates</w:t>
      </w:r>
    </w:p>
    <w:tbl>
      <w:tblPr>
        <w:tblW w:type="auto" w:w="0"/>
        <w:tblLook w:firstColumn="1" w:firstRow="1" w:lastColumn="0" w:lastRow="0" w:noHBand="0" w:noVBand="1" w:val="04A0"/>
      </w:tblPr>
      <w:tblGrid>
        <w:gridCol w:w="2493"/>
        <w:gridCol w:w="2493"/>
        <w:gridCol w:w="2493"/>
        <w:gridCol w:w="2493"/>
      </w:tblGrid>
      <w:tr>
        <w:tc>
          <w:tcPr>
            <w:tcW w:type="dxa" w:w="2493"/>
          </w:tcPr>
          <w:p>
            <w:r>
              <w:t>Issue</w:t>
            </w:r>
          </w:p>
        </w:tc>
        <w:tc>
          <w:tcPr>
            <w:tcW w:type="dxa" w:w="2493"/>
          </w:tcPr>
          <w:p>
            <w:r>
              <w:t>Riyals at stake</w:t>
            </w:r>
          </w:p>
        </w:tc>
        <w:tc>
          <w:tcPr>
            <w:tcW w:type="dxa" w:w="2493"/>
          </w:tcPr>
          <w:p>
            <w:r>
              <w:t>Owner</w:t>
            </w:r>
          </w:p>
        </w:tc>
        <w:tc>
          <w:tcPr>
            <w:tcW w:type="dxa" w:w="2493"/>
          </w:tcPr>
          <w:p>
            <w:r>
              <w:t>By when</w:t>
            </w:r>
          </w:p>
        </w:tc>
      </w:tr>
    </w:tbl>
    <w:p>
      <w:r>
        <w:t>Anonymised, scaled sample data.</w:t>
      </w:r>
    </w:p>
    <w:p>
      <w:pPr>
        <w:pStyle w:val="Heading1"/>
      </w:pPr>
      <w:r>
        <w:t>How we work</w:t>
      </w:r>
    </w:p>
    <w:p>
      <w:r>
        <w:t>Fourwall is a technology and management-advisory company and is not a licensed public accounting firm. We do not provide accounting, bookkeeping, audit, review, tax or zakat services. Clients remain responsible for their books, financial statements and filings. Licensed services are available through independent licensed firms. Fourwall is a member of Accord Partners.</w:t>
      </w:r>
    </w:p>
    <w:sectPr w:rsidR="00FC693F" w:rsidRPr="0006063C" w:rsidSect="00034616">
      <w:headerReference w:type="default" r:id="rId9"/>
      <w:footerReference w:type="default" r:id="rId10"/>
      <w:pgSz w:w="12240" w:h="15840"/>
      <w:pgMar w:top="1134" w:right="1021"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Fourwall · v1.0 · fourwall.app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005840" cy="318516"/>
          <wp:docPr id="1" name="Picture 1"/>
          <wp:cNvGraphicFramePr>
            <a:graphicFrameLocks noChangeAspect="1"/>
          </wp:cNvGraphicFramePr>
          <a:graphic>
            <a:graphicData uri="http://schemas.openxmlformats.org/drawingml/2006/picture">
              <pic:pic>
                <pic:nvPicPr>
                  <pic:cNvPr id="0" name="fourwall-horizontal@2x.png"/>
                  <pic:cNvPicPr/>
                </pic:nvPicPr>
                <pic:blipFill>
                  <a:blip r:embed="rId1"/>
                  <a:stretch>
                    <a:fillRect/>
                  </a:stretch>
                </pic:blipFill>
                <pic:spPr>
                  <a:xfrm>
                    <a:off x="0" y="0"/>
                    <a:ext cx="1005840" cy="3185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Inter" w:hAnsi="Inte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ewsreader" w:hAnsi="Newsreader"/>
      <w:b/>
      <w:bCs/>
      <w:color w:val="0F1F4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0F1F4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ewsreader" w:hAnsi="Newsreader"/>
      <w:color w:val="0F1F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